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7859" w14:textId="6F3CFE25" w:rsidR="00617192" w:rsidRPr="00FB30AC" w:rsidRDefault="00617192" w:rsidP="00FB30AC">
      <w:pPr>
        <w:pStyle w:val="Titre2"/>
        <w:rPr>
          <w:i/>
          <w:iCs/>
          <w:color w:val="404040" w:themeColor="text1" w:themeTint="BF"/>
        </w:rPr>
      </w:pPr>
      <w:r w:rsidRPr="00617192">
        <w:rPr>
          <w:rStyle w:val="Accentuationlgre"/>
        </w:rPr>
        <w:t>Transcription textuelle « Méthanisation : quelles retombée</w:t>
      </w:r>
      <w:r w:rsidR="005445D2">
        <w:rPr>
          <w:rStyle w:val="Accentuationlgre"/>
        </w:rPr>
        <w:t>s</w:t>
      </w:r>
      <w:r w:rsidRPr="00617192">
        <w:rPr>
          <w:rStyle w:val="Accentuationlgre"/>
        </w:rPr>
        <w:t xml:space="preserve"> pour les territoires ? »</w:t>
      </w:r>
    </w:p>
    <w:p w14:paraId="3CC97548" w14:textId="70BDC91E" w:rsidR="00617192" w:rsidRDefault="00617192" w:rsidP="00FB30AC">
      <w:pPr>
        <w:pStyle w:val="Titre1"/>
        <w:spacing w:after="240"/>
      </w:pPr>
      <w:r w:rsidRPr="00617192">
        <w:t>Méthanisation : quelles retombée</w:t>
      </w:r>
      <w:r w:rsidR="000602E6">
        <w:t>s</w:t>
      </w:r>
      <w:r w:rsidRPr="00617192">
        <w:t xml:space="preserve"> pour les territoires ?</w:t>
      </w:r>
    </w:p>
    <w:p w14:paraId="7FE4D336" w14:textId="53A9DD0E" w:rsidR="00617192" w:rsidRPr="00FB30AC" w:rsidRDefault="00617192" w:rsidP="00FB30AC">
      <w:pPr>
        <w:pStyle w:val="Titre2"/>
      </w:pPr>
      <w:r w:rsidRPr="00FB30AC">
        <w:t>Un levier d’indépendance énergétique</w:t>
      </w:r>
    </w:p>
    <w:p w14:paraId="1B599AE2" w14:textId="3AC8313F" w:rsidR="00617192" w:rsidRPr="00FB30AC" w:rsidRDefault="00FB30AC" w:rsidP="00617192">
      <w:r>
        <w:t>On compte</w:t>
      </w:r>
      <w:r w:rsidR="00F22E56">
        <w:t xml:space="preserve"> </w:t>
      </w:r>
      <w:r w:rsidR="00617192" w:rsidRPr="00FB30AC">
        <w:rPr>
          <w:b/>
          <w:bCs/>
        </w:rPr>
        <w:t>1</w:t>
      </w:r>
      <w:r w:rsidR="00F22E56" w:rsidRPr="00FB30AC">
        <w:rPr>
          <w:b/>
          <w:bCs/>
        </w:rPr>
        <w:t xml:space="preserve"> </w:t>
      </w:r>
      <w:r w:rsidR="00617192" w:rsidRPr="00FB30AC">
        <w:rPr>
          <w:b/>
          <w:bCs/>
        </w:rPr>
        <w:t>450 unités de méthanisation</w:t>
      </w:r>
      <w:r w:rsidR="00617192">
        <w:t xml:space="preserve"> en France au 1</w:t>
      </w:r>
      <w:r w:rsidR="00617192" w:rsidRPr="00617192">
        <w:rPr>
          <w:vertAlign w:val="superscript"/>
        </w:rPr>
        <w:t>er</w:t>
      </w:r>
      <w:r w:rsidR="00617192">
        <w:t xml:space="preserve"> janvier 2023, soit une </w:t>
      </w:r>
      <w:r w:rsidR="00617192" w:rsidRPr="00FB30AC">
        <w:rPr>
          <w:b/>
          <w:bCs/>
        </w:rPr>
        <w:t>augmentation de 42 %</w:t>
      </w:r>
      <w:r w:rsidR="00617192">
        <w:t xml:space="preserve"> en 2 ans</w:t>
      </w:r>
      <w:r>
        <w:t xml:space="preserve"> </w:t>
      </w:r>
      <w:r w:rsidRPr="00FB30AC">
        <w:t>(s</w:t>
      </w:r>
      <w:r w:rsidR="00617192" w:rsidRPr="00FB30AC">
        <w:t>ource : ADEME 2023</w:t>
      </w:r>
      <w:r w:rsidRPr="00FB30AC">
        <w:t>).</w:t>
      </w:r>
    </w:p>
    <w:p w14:paraId="39BFE652" w14:textId="1B82538A" w:rsidR="00617192" w:rsidRPr="00FB30AC" w:rsidRDefault="00617192" w:rsidP="00FB30AC">
      <w:pPr>
        <w:pStyle w:val="Titre3"/>
      </w:pPr>
      <w:r w:rsidRPr="00FB30AC">
        <w:t>En 2022</w:t>
      </w:r>
    </w:p>
    <w:p w14:paraId="71CB8D1A" w14:textId="47D98AFD" w:rsidR="00617192" w:rsidRDefault="00617192" w:rsidP="00617192">
      <w:r w:rsidRPr="00FB30AC">
        <w:rPr>
          <w:b/>
          <w:bCs/>
        </w:rPr>
        <w:t>7 TWh</w:t>
      </w:r>
      <w:r>
        <w:t xml:space="preserve"> de biométhane injectés dans le réseau de gaz contre un objectif de 6, soit </w:t>
      </w:r>
      <w:r w:rsidRPr="006D23BD">
        <w:rPr>
          <w:b/>
          <w:bCs/>
        </w:rPr>
        <w:t>1 an d’avance</w:t>
      </w:r>
      <w:r>
        <w:t xml:space="preserve"> (Objectif 2023 de la PPE).</w:t>
      </w:r>
    </w:p>
    <w:p w14:paraId="26598961" w14:textId="048C7031" w:rsidR="00617192" w:rsidRDefault="00617192" w:rsidP="00FB30AC">
      <w:pPr>
        <w:pStyle w:val="Titre3"/>
      </w:pPr>
      <w:r>
        <w:t>Et en 2050 ?</w:t>
      </w:r>
    </w:p>
    <w:p w14:paraId="1AB8AF24" w14:textId="723CE752" w:rsidR="00617192" w:rsidRDefault="00617192" w:rsidP="00617192">
      <w:r w:rsidRPr="00FB30AC">
        <w:rPr>
          <w:b/>
          <w:bCs/>
        </w:rPr>
        <w:t>110 TWh</w:t>
      </w:r>
      <w:r>
        <w:t xml:space="preserve"> de gisement mobilisable en méthanisation (Transition 2050, scénario 2).</w:t>
      </w:r>
    </w:p>
    <w:p w14:paraId="258323FC" w14:textId="3EF2D941" w:rsidR="00617192" w:rsidRDefault="00617192" w:rsidP="00FB30AC">
      <w:pPr>
        <w:pStyle w:val="Titre3"/>
      </w:pPr>
      <w:r>
        <w:t>Une énergie renouvelable produite 365 jours par an</w:t>
      </w:r>
    </w:p>
    <w:p w14:paraId="288D1664" w14:textId="3B296E14" w:rsidR="005A03BC" w:rsidRDefault="00617192" w:rsidP="00FB30AC">
      <w:r>
        <w:t>La méthanisation produit du biogaz local sans interruption. Autre avantage : le biométhane peut être stocké dans les réseaux.</w:t>
      </w:r>
    </w:p>
    <w:p w14:paraId="08D6B2B4" w14:textId="25CC4558" w:rsidR="00617192" w:rsidRDefault="00617192" w:rsidP="00FB30AC">
      <w:pPr>
        <w:pStyle w:val="Titre2"/>
      </w:pPr>
      <w:r>
        <w:t>De nombreux services à l’échelle locale</w:t>
      </w:r>
    </w:p>
    <w:p w14:paraId="1EF8F882" w14:textId="27A9795B" w:rsidR="00AE2738" w:rsidRDefault="00AE2738" w:rsidP="00FB30AC">
      <w:pPr>
        <w:pStyle w:val="Titre3"/>
      </w:pPr>
      <w:r>
        <w:t>Comment fonctionne la méthanisation ?</w:t>
      </w:r>
    </w:p>
    <w:p w14:paraId="2BA17040" w14:textId="40305DDF" w:rsidR="00AE2738" w:rsidRPr="00AE2738" w:rsidRDefault="00A627D6" w:rsidP="00AE2738">
      <w:r>
        <w:t xml:space="preserve">On dépose dans un méthaniseur des </w:t>
      </w:r>
      <w:r w:rsidR="00AE2738">
        <w:t>déchets verts, alimentaires</w:t>
      </w:r>
      <w:r>
        <w:t>…</w:t>
      </w:r>
      <w:r w:rsidR="00AE2738">
        <w:t xml:space="preserve"> et </w:t>
      </w:r>
      <w:r>
        <w:t>d</w:t>
      </w:r>
      <w:r w:rsidR="00AE2738">
        <w:t>es effluents d’élevage, résidus de culture</w:t>
      </w:r>
      <w:r w:rsidRPr="00A627D6">
        <w:t>…</w:t>
      </w:r>
      <w:r w:rsidR="00FB30AC">
        <w:t xml:space="preserve"> </w:t>
      </w:r>
      <w:r w:rsidR="00FB30AC" w:rsidRPr="00FB30AC">
        <w:rPr>
          <w:b/>
          <w:bCs/>
        </w:rPr>
        <w:t>15 à 20 % des matières introduites</w:t>
      </w:r>
      <w:r w:rsidR="00FB30AC">
        <w:t xml:space="preserve"> sont des biodéchets.</w:t>
      </w:r>
      <w:r w:rsidR="00AE2738">
        <w:t xml:space="preserve"> </w:t>
      </w:r>
      <w:r>
        <w:t xml:space="preserve">Ces matières se dégradent jusqu’à former un </w:t>
      </w:r>
      <w:r w:rsidR="00AE2738">
        <w:t>digestat</w:t>
      </w:r>
      <w:r w:rsidR="00FF31EF">
        <w:t xml:space="preserve"> </w:t>
      </w:r>
      <w:r>
        <w:t xml:space="preserve">qui </w:t>
      </w:r>
      <w:r w:rsidR="00D9021E">
        <w:t xml:space="preserve">produit </w:t>
      </w:r>
      <w:r>
        <w:t xml:space="preserve">alors </w:t>
      </w:r>
      <w:r w:rsidR="00AE2738">
        <w:t>du biogaz</w:t>
      </w:r>
      <w:r w:rsidR="00D9021E">
        <w:t>.</w:t>
      </w:r>
      <w:r w:rsidR="00AE2738">
        <w:t xml:space="preserve"> </w:t>
      </w:r>
      <w:r w:rsidR="00D9021E">
        <w:t>Ce dernier</w:t>
      </w:r>
      <w:r w:rsidR="00AE2738">
        <w:t xml:space="preserve"> peut être utilisé </w:t>
      </w:r>
      <w:r>
        <w:t xml:space="preserve">pour produire du </w:t>
      </w:r>
      <w:r w:rsidR="00AE2738">
        <w:t xml:space="preserve">carburant, </w:t>
      </w:r>
      <w:r>
        <w:t xml:space="preserve">du </w:t>
      </w:r>
      <w:r w:rsidR="00AE2738">
        <w:t xml:space="preserve">gaz, de </w:t>
      </w:r>
      <w:r>
        <w:t xml:space="preserve">la </w:t>
      </w:r>
      <w:r w:rsidR="00AE2738">
        <w:t>chaleur et d</w:t>
      </w:r>
      <w:r>
        <w:t>e l’</w:t>
      </w:r>
      <w:r w:rsidR="00AE2738">
        <w:t>électricité.</w:t>
      </w:r>
    </w:p>
    <w:p w14:paraId="76C521D0" w14:textId="18DDAACA" w:rsidR="00617192" w:rsidRDefault="00617192" w:rsidP="00FB30AC">
      <w:pPr>
        <w:pStyle w:val="Titre3"/>
      </w:pPr>
      <w:r>
        <w:t>Un traitement des déchets optimisé</w:t>
      </w:r>
    </w:p>
    <w:p w14:paraId="6C993E8C" w14:textId="11BC6CA5" w:rsidR="00617192" w:rsidRDefault="00A627D6" w:rsidP="00617192">
      <w:r>
        <w:t xml:space="preserve">Utiliser les déchets pour la méthanisation revient </w:t>
      </w:r>
      <w:r w:rsidR="00617192">
        <w:t>2 fois moins cher que l’incinération ou l’enfouissement.</w:t>
      </w:r>
    </w:p>
    <w:p w14:paraId="21C716F7" w14:textId="77777777" w:rsidR="00A627D6" w:rsidRPr="00AE2738" w:rsidRDefault="00A627D6" w:rsidP="00A627D6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AE273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Des énergies renouvelables</w:t>
      </w:r>
    </w:p>
    <w:p w14:paraId="6DC8CBBD" w14:textId="77777777" w:rsidR="00A627D6" w:rsidRDefault="00A627D6" w:rsidP="00A627D6">
      <w:r>
        <w:t xml:space="preserve">Un méthaniseur traitant </w:t>
      </w:r>
      <w:r w:rsidRPr="00A627D6">
        <w:rPr>
          <w:b/>
          <w:bCs/>
        </w:rPr>
        <w:t>15 000 tonnes/an</w:t>
      </w:r>
      <w:r>
        <w:t xml:space="preserve"> de matières équivaut à :</w:t>
      </w:r>
    </w:p>
    <w:p w14:paraId="4B3D050D" w14:textId="77777777" w:rsidR="00A627D6" w:rsidRDefault="00A627D6" w:rsidP="00A627D6">
      <w:pPr>
        <w:pStyle w:val="Paragraphedeliste"/>
        <w:numPr>
          <w:ilvl w:val="0"/>
          <w:numId w:val="2"/>
        </w:numPr>
      </w:pPr>
      <w:r w:rsidRPr="00A627D6">
        <w:rPr>
          <w:b/>
          <w:bCs/>
        </w:rPr>
        <w:t>500 maisons chauffées</w:t>
      </w:r>
      <w:r>
        <w:t> ;</w:t>
      </w:r>
    </w:p>
    <w:p w14:paraId="7EF79311" w14:textId="77777777" w:rsidR="00A627D6" w:rsidRDefault="00A627D6" w:rsidP="00A627D6">
      <w:pPr>
        <w:pStyle w:val="Paragraphedeliste"/>
        <w:numPr>
          <w:ilvl w:val="0"/>
          <w:numId w:val="2"/>
        </w:numPr>
      </w:pPr>
      <w:r w:rsidRPr="00A627D6">
        <w:rPr>
          <w:b/>
          <w:bCs/>
        </w:rPr>
        <w:t>ou 60 bus urbains alimentés</w:t>
      </w:r>
      <w:r>
        <w:t xml:space="preserve"> en carburant</w:t>
      </w:r>
    </w:p>
    <w:p w14:paraId="7AD20116" w14:textId="2A8F595F" w:rsidR="00A627D6" w:rsidRDefault="00A627D6" w:rsidP="00A627D6">
      <w:r>
        <w:t xml:space="preserve">Le biogaz émet </w:t>
      </w:r>
      <w:r w:rsidRPr="00A627D6">
        <w:rPr>
          <w:b/>
          <w:bCs/>
        </w:rPr>
        <w:t>6 à 8 fois moins de gaz à effet de serre</w:t>
      </w:r>
      <w:r>
        <w:t xml:space="preserve"> que le gaz d’origine fossile.</w:t>
      </w:r>
    </w:p>
    <w:p w14:paraId="1DC800C5" w14:textId="77777777" w:rsidR="00A627D6" w:rsidRDefault="00A627D6" w:rsidP="00A627D6">
      <w:pPr>
        <w:pStyle w:val="Titre3"/>
      </w:pPr>
      <w:r>
        <w:t>Un soutien à l’agriculture</w:t>
      </w:r>
    </w:p>
    <w:p w14:paraId="1CD23CF1" w14:textId="77777777" w:rsidR="00A627D6" w:rsidRDefault="00A627D6" w:rsidP="00A627D6">
      <w:r w:rsidRPr="00A627D6">
        <w:rPr>
          <w:b/>
          <w:bCs/>
        </w:rPr>
        <w:t>1 unité de méthanisation</w:t>
      </w:r>
      <w:r>
        <w:t xml:space="preserve"> sur une exploitation permet :</w:t>
      </w:r>
    </w:p>
    <w:p w14:paraId="4878A5F1" w14:textId="77777777" w:rsidR="00A627D6" w:rsidRDefault="00A627D6" w:rsidP="00A627D6">
      <w:pPr>
        <w:pStyle w:val="Paragraphedeliste"/>
        <w:numPr>
          <w:ilvl w:val="0"/>
          <w:numId w:val="2"/>
        </w:numPr>
      </w:pPr>
      <w:r w:rsidRPr="00A627D6">
        <w:rPr>
          <w:b/>
          <w:bCs/>
        </w:rPr>
        <w:t>une réduction des gaz à effet de serre</w:t>
      </w:r>
      <w:r>
        <w:t xml:space="preserve"> de l’élevage ;</w:t>
      </w:r>
    </w:p>
    <w:p w14:paraId="5782F7D3" w14:textId="77777777" w:rsidR="00A627D6" w:rsidRDefault="00A627D6" w:rsidP="00A627D6">
      <w:pPr>
        <w:pStyle w:val="Paragraphedeliste"/>
        <w:numPr>
          <w:ilvl w:val="0"/>
          <w:numId w:val="2"/>
        </w:numPr>
      </w:pPr>
      <w:r w:rsidRPr="00A627D6">
        <w:rPr>
          <w:b/>
          <w:bCs/>
        </w:rPr>
        <w:t>une autonomie énergétique</w:t>
      </w:r>
      <w:r>
        <w:t xml:space="preserve"> (chauffage des bâtiments, carburant pour les tracteurs) ;</w:t>
      </w:r>
    </w:p>
    <w:p w14:paraId="566A3B5C" w14:textId="77777777" w:rsidR="00A627D6" w:rsidRDefault="00A627D6" w:rsidP="00A627D6">
      <w:pPr>
        <w:pStyle w:val="Paragraphedeliste"/>
        <w:numPr>
          <w:ilvl w:val="0"/>
          <w:numId w:val="2"/>
        </w:numPr>
      </w:pPr>
      <w:r w:rsidRPr="00A627D6">
        <w:rPr>
          <w:b/>
          <w:bCs/>
        </w:rPr>
        <w:t>des revenus complémentaires</w:t>
      </w:r>
      <w:r>
        <w:t> ;</w:t>
      </w:r>
    </w:p>
    <w:p w14:paraId="5864601C" w14:textId="069D271F" w:rsidR="00A627D6" w:rsidRDefault="00A627D6" w:rsidP="00A627D6">
      <w:pPr>
        <w:pStyle w:val="Paragraphedeliste"/>
        <w:numPr>
          <w:ilvl w:val="0"/>
          <w:numId w:val="2"/>
        </w:numPr>
      </w:pPr>
      <w:r w:rsidRPr="00A627D6">
        <w:rPr>
          <w:b/>
          <w:bCs/>
        </w:rPr>
        <w:lastRenderedPageBreak/>
        <w:t>une réutilisation du digestat</w:t>
      </w:r>
      <w:r>
        <w:t xml:space="preserve"> pouvant remplacer jusqu’à </w:t>
      </w:r>
      <w:r w:rsidRPr="00E43FC0">
        <w:rPr>
          <w:b/>
          <w:bCs/>
        </w:rPr>
        <w:t>70 %</w:t>
      </w:r>
      <w:r>
        <w:t xml:space="preserve"> des engrais minéraux.</w:t>
      </w:r>
    </w:p>
    <w:p w14:paraId="71D51072" w14:textId="77777777" w:rsidR="00A627D6" w:rsidRDefault="00A627D6" w:rsidP="00A627D6">
      <w:pPr>
        <w:pStyle w:val="Titre3"/>
      </w:pPr>
      <w:r>
        <w:t>Un moteur économique</w:t>
      </w:r>
    </w:p>
    <w:p w14:paraId="04A0A42D" w14:textId="06BD6132" w:rsidR="00A627D6" w:rsidRDefault="00A627D6" w:rsidP="00617192">
      <w:r w:rsidRPr="00A627D6">
        <w:rPr>
          <w:b/>
          <w:bCs/>
        </w:rPr>
        <w:t>4 400 emplois non délocalisables</w:t>
      </w:r>
      <w:r>
        <w:t xml:space="preserve"> ont vu le jour en 2020 et d’autres sont à venir.</w:t>
      </w:r>
    </w:p>
    <w:p w14:paraId="489E1BD8" w14:textId="1792A8B6" w:rsidR="00617192" w:rsidRDefault="00617192" w:rsidP="00FB30AC">
      <w:pPr>
        <w:pStyle w:val="Titre3"/>
      </w:pPr>
      <w:r>
        <w:t>Demain, des biodéchets à mobiliser</w:t>
      </w:r>
    </w:p>
    <w:p w14:paraId="705F111A" w14:textId="61118E75" w:rsidR="00617192" w:rsidRDefault="00617192" w:rsidP="00617192">
      <w:r>
        <w:t xml:space="preserve">D’ici </w:t>
      </w:r>
      <w:r w:rsidR="00D9021E">
        <w:t>l</w:t>
      </w:r>
      <w:r>
        <w:t>e 1</w:t>
      </w:r>
      <w:r w:rsidRPr="00617192">
        <w:rPr>
          <w:vertAlign w:val="superscript"/>
        </w:rPr>
        <w:t>er</w:t>
      </w:r>
      <w:r>
        <w:t xml:space="preserve"> janvier 2024, tous les citoyens, entreprises et collectivités seront concernés par le tri à la source des biodéchets pouvant être valorisés via la méthanisation.</w:t>
      </w:r>
    </w:p>
    <w:p w14:paraId="246DD502" w14:textId="1CA073F4" w:rsidR="00AE2738" w:rsidRPr="005A03BC" w:rsidRDefault="005A03BC" w:rsidP="00AE2738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5A03BC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Et la concurrence avec l’alimentation ?</w:t>
      </w:r>
    </w:p>
    <w:p w14:paraId="1AC7770F" w14:textId="79CBB197" w:rsidR="005A03BC" w:rsidRPr="00A627D6" w:rsidRDefault="005A03BC" w:rsidP="00AE2738">
      <w:r>
        <w:t xml:space="preserve">La France impose une limite aux cultures principales dédiées à la méthanisation. Les </w:t>
      </w:r>
      <w:r w:rsidR="00DE10B0" w:rsidRPr="00DE10B0">
        <w:t xml:space="preserve">méthaniseurs </w:t>
      </w:r>
      <w:r>
        <w:t xml:space="preserve">doivent valoriser en priorité les effluents d’élevage, biodéchets et couverts </w:t>
      </w:r>
      <w:r w:rsidRPr="00A627D6">
        <w:t>agronomiques</w:t>
      </w:r>
      <w:r w:rsidR="00A627D6" w:rsidRPr="00A627D6">
        <w:t xml:space="preserve"> (c</w:t>
      </w:r>
      <w:r w:rsidRPr="00A627D6">
        <w:t>ultures intermédiaires entre 2 cultures alimentaires</w:t>
      </w:r>
      <w:r w:rsidR="00A627D6" w:rsidRPr="00A627D6">
        <w:t>).</w:t>
      </w:r>
    </w:p>
    <w:p w14:paraId="3C0CD73C" w14:textId="13193DF0" w:rsidR="005A03BC" w:rsidRDefault="005A03BC" w:rsidP="00FB30AC">
      <w:pPr>
        <w:pStyle w:val="Titre2"/>
      </w:pPr>
      <w:r>
        <w:t>Attention aux idées reçues</w:t>
      </w:r>
    </w:p>
    <w:p w14:paraId="2C47522C" w14:textId="20F956D6" w:rsidR="00541FAC" w:rsidRPr="00541FAC" w:rsidRDefault="00541FAC" w:rsidP="00541FAC">
      <w:r>
        <w:t>4 idées reçues sur la méthanisation</w:t>
      </w:r>
      <w:r w:rsidR="00A627D6">
        <w:t> :</w:t>
      </w:r>
    </w:p>
    <w:p w14:paraId="001834A2" w14:textId="6EB5BF01" w:rsidR="005A03BC" w:rsidRPr="00541FAC" w:rsidRDefault="005A03BC" w:rsidP="005A03BC">
      <w:pPr>
        <w:pStyle w:val="Paragraphedeliste"/>
        <w:numPr>
          <w:ilvl w:val="0"/>
          <w:numId w:val="3"/>
        </w:numPr>
        <w:rPr>
          <w:b/>
          <w:bCs/>
        </w:rPr>
      </w:pPr>
      <w:r w:rsidRPr="00541FAC">
        <w:rPr>
          <w:b/>
          <w:bCs/>
        </w:rPr>
        <w:t>Plus de trafic ?</w:t>
      </w:r>
    </w:p>
    <w:p w14:paraId="4D6D7E1A" w14:textId="5FB4C3CD" w:rsidR="005A03BC" w:rsidRDefault="005A03BC" w:rsidP="005A03BC">
      <w:r>
        <w:t>Un projet moyen de 11 000 tonnes représente 1 à 2 passages de camions par jour.</w:t>
      </w:r>
    </w:p>
    <w:p w14:paraId="1DFBE236" w14:textId="525201CF" w:rsidR="005A03BC" w:rsidRPr="00541FAC" w:rsidRDefault="005A03BC" w:rsidP="005A03BC">
      <w:pPr>
        <w:pStyle w:val="Paragraphedeliste"/>
        <w:numPr>
          <w:ilvl w:val="0"/>
          <w:numId w:val="3"/>
        </w:numPr>
        <w:rPr>
          <w:b/>
          <w:bCs/>
        </w:rPr>
      </w:pPr>
      <w:r w:rsidRPr="00541FAC">
        <w:rPr>
          <w:b/>
          <w:bCs/>
        </w:rPr>
        <w:t>Des paysages impactés ?</w:t>
      </w:r>
    </w:p>
    <w:p w14:paraId="75EC7CD5" w14:textId="04AF544E" w:rsidR="005A03BC" w:rsidRDefault="005A03BC" w:rsidP="005A03BC">
      <w:r>
        <w:t>Les installations peuvent être intégrées à leur environnement, végétalisées et partiellement enfouies.</w:t>
      </w:r>
    </w:p>
    <w:p w14:paraId="355A0834" w14:textId="6422FB2A" w:rsidR="005A03BC" w:rsidRPr="00541FAC" w:rsidRDefault="005A03BC" w:rsidP="005A03BC">
      <w:pPr>
        <w:pStyle w:val="Paragraphedeliste"/>
        <w:numPr>
          <w:ilvl w:val="0"/>
          <w:numId w:val="3"/>
        </w:numPr>
        <w:rPr>
          <w:b/>
          <w:bCs/>
        </w:rPr>
      </w:pPr>
      <w:r w:rsidRPr="00541FAC">
        <w:rPr>
          <w:b/>
          <w:bCs/>
        </w:rPr>
        <w:t>Des mauvaises odeurs ?</w:t>
      </w:r>
    </w:p>
    <w:p w14:paraId="2D0A58AB" w14:textId="170CB7CE" w:rsidR="005A03BC" w:rsidRDefault="005A03BC" w:rsidP="005A03BC">
      <w:r>
        <w:t>Celles possibles sont liées aux transports et au déchargement des déchets.</w:t>
      </w:r>
    </w:p>
    <w:p w14:paraId="6477567F" w14:textId="0CCA2B27" w:rsidR="005A03BC" w:rsidRPr="00541FAC" w:rsidRDefault="005A03BC" w:rsidP="005A03BC">
      <w:pPr>
        <w:pStyle w:val="Paragraphedeliste"/>
        <w:numPr>
          <w:ilvl w:val="0"/>
          <w:numId w:val="3"/>
        </w:numPr>
        <w:rPr>
          <w:b/>
          <w:bCs/>
        </w:rPr>
      </w:pPr>
      <w:r w:rsidRPr="00541FAC">
        <w:rPr>
          <w:b/>
          <w:bCs/>
        </w:rPr>
        <w:t>Des risques d’explosion ?</w:t>
      </w:r>
    </w:p>
    <w:p w14:paraId="1CAC1EA0" w14:textId="2252B8D6" w:rsidR="005A03BC" w:rsidRDefault="005A03BC" w:rsidP="005A03BC">
      <w:r>
        <w:t>Strictement encadrée, une unité de méthanisation n’est pas plus dangereuse qu’une station essence.</w:t>
      </w:r>
    </w:p>
    <w:p w14:paraId="3C22FAAC" w14:textId="77777777" w:rsidR="005A03BC" w:rsidRDefault="005A03BC" w:rsidP="00FB30AC">
      <w:pPr>
        <w:pStyle w:val="Titre2"/>
      </w:pPr>
      <w:r>
        <w:t>Pour aller plus loin :</w:t>
      </w:r>
    </w:p>
    <w:p w14:paraId="49F2EAE5" w14:textId="795137ED" w:rsidR="005A03BC" w:rsidRDefault="005A03BC" w:rsidP="005A03BC">
      <w:pPr>
        <w:pStyle w:val="Paragraphedeliste"/>
        <w:numPr>
          <w:ilvl w:val="0"/>
          <w:numId w:val="4"/>
        </w:numPr>
      </w:pPr>
      <w:r>
        <w:t xml:space="preserve">Le </w:t>
      </w:r>
      <w:r w:rsidR="00541FAC">
        <w:t>g</w:t>
      </w:r>
      <w:r>
        <w:t>uide de l’ADEME « </w:t>
      </w:r>
      <w:hyperlink r:id="rId8" w:history="1">
        <w:r w:rsidRPr="005A03BC">
          <w:rPr>
            <w:rStyle w:val="Lienhypertexte"/>
          </w:rPr>
          <w:t>La méthanisation en 10 questions</w:t>
        </w:r>
      </w:hyperlink>
      <w:r>
        <w:t xml:space="preserve"> ».</w:t>
      </w:r>
    </w:p>
    <w:p w14:paraId="6C17C23F" w14:textId="1C929FB4" w:rsidR="005A03BC" w:rsidRPr="005A03BC" w:rsidRDefault="005A03BC" w:rsidP="005A03BC">
      <w:pPr>
        <w:rPr>
          <w:i/>
          <w:iCs/>
        </w:rPr>
      </w:pPr>
      <w:r w:rsidRPr="005A03BC">
        <w:rPr>
          <w:i/>
          <w:iCs/>
        </w:rPr>
        <w:t xml:space="preserve">Retrouvez l’ADEME sur </w:t>
      </w:r>
      <w:hyperlink r:id="rId9" w:history="1">
        <w:r w:rsidRPr="005A03BC">
          <w:rPr>
            <w:rStyle w:val="Lienhypertexte"/>
            <w:i/>
            <w:iCs/>
          </w:rPr>
          <w:t>Twitter</w:t>
        </w:r>
      </w:hyperlink>
      <w:r w:rsidRPr="005A03BC">
        <w:rPr>
          <w:i/>
          <w:iCs/>
        </w:rPr>
        <w:t xml:space="preserve"> et sur </w:t>
      </w:r>
      <w:hyperlink r:id="rId10" w:history="1">
        <w:r w:rsidRPr="005A03BC">
          <w:rPr>
            <w:rStyle w:val="Lienhypertexte"/>
            <w:i/>
            <w:iCs/>
          </w:rPr>
          <w:t>YouTube</w:t>
        </w:r>
      </w:hyperlink>
      <w:r w:rsidRPr="005A03BC">
        <w:rPr>
          <w:i/>
          <w:iCs/>
        </w:rPr>
        <w:t>.</w:t>
      </w:r>
    </w:p>
    <w:p w14:paraId="60CEE850" w14:textId="04E77416" w:rsidR="005A03BC" w:rsidRPr="00756ED4" w:rsidRDefault="00717EDA" w:rsidP="005A03BC">
      <w:pPr>
        <w:tabs>
          <w:tab w:val="left" w:pos="2220"/>
        </w:tabs>
        <w:rPr>
          <w:i/>
          <w:iCs/>
        </w:rPr>
      </w:pPr>
      <w:r w:rsidRPr="00C66929">
        <w:rPr>
          <w:rStyle w:val="normaltextrun"/>
          <w:rFonts w:ascii="Source Sans Pro" w:hAnsi="Source Sans Pro"/>
          <w:color w:val="000000"/>
          <w:sz w:val="21"/>
          <w:szCs w:val="21"/>
        </w:rPr>
        <w:t>Infographie</w:t>
      </w:r>
      <w:r>
        <w:rPr>
          <w:rStyle w:val="normaltextrun"/>
          <w:rFonts w:ascii="Source Sans Pro" w:hAnsi="Source Sans Pro"/>
          <w:color w:val="000000"/>
          <w:sz w:val="21"/>
          <w:szCs w:val="21"/>
        </w:rPr>
        <w:t xml:space="preserve"> réalisée</w:t>
      </w:r>
      <w:r w:rsidRPr="00C66929">
        <w:rPr>
          <w:rStyle w:val="normaltextrun"/>
          <w:rFonts w:ascii="Source Sans Pro" w:hAnsi="Source Sans Pro"/>
          <w:color w:val="000000"/>
          <w:sz w:val="21"/>
          <w:szCs w:val="21"/>
        </w:rPr>
        <w:t xml:space="preserve"> </w:t>
      </w:r>
      <w:r>
        <w:rPr>
          <w:rStyle w:val="normaltextrun"/>
          <w:rFonts w:ascii="Source Sans Pro" w:hAnsi="Source Sans Pro"/>
          <w:color w:val="000000"/>
          <w:sz w:val="21"/>
          <w:szCs w:val="21"/>
        </w:rPr>
        <w:t>en février</w:t>
      </w:r>
      <w:r w:rsidRPr="00C66929">
        <w:rPr>
          <w:rStyle w:val="normaltextrun"/>
          <w:rFonts w:ascii="Source Sans Pro" w:hAnsi="Source Sans Pro"/>
          <w:color w:val="000000"/>
          <w:sz w:val="21"/>
          <w:szCs w:val="21"/>
        </w:rPr>
        <w:t xml:space="preserve"> 202</w:t>
      </w:r>
      <w:r>
        <w:rPr>
          <w:rStyle w:val="normaltextrun"/>
          <w:rFonts w:ascii="Source Sans Pro" w:hAnsi="Source Sans Pro"/>
          <w:color w:val="000000"/>
          <w:sz w:val="21"/>
          <w:szCs w:val="21"/>
        </w:rPr>
        <w:t>3</w:t>
      </w:r>
      <w:r>
        <w:rPr>
          <w:rStyle w:val="normaltextrun"/>
          <w:rFonts w:ascii="Source Sans Pro" w:hAnsi="Source Sans Pro"/>
          <w:i/>
          <w:iCs/>
          <w:color w:val="000000"/>
          <w:sz w:val="21"/>
          <w:szCs w:val="21"/>
        </w:rPr>
        <w:t xml:space="preserve"> par l’agence Giboulées. </w:t>
      </w:r>
      <w:r>
        <w:rPr>
          <w:i/>
          <w:iCs/>
        </w:rPr>
        <w:t xml:space="preserve">Collection ADEME : </w:t>
      </w:r>
      <w:r w:rsidR="005A03BC" w:rsidRPr="00756ED4">
        <w:rPr>
          <w:i/>
          <w:iCs/>
        </w:rPr>
        <w:t>Clé pour Agir (</w:t>
      </w:r>
      <w:r w:rsidR="005A03BC">
        <w:rPr>
          <w:i/>
          <w:iCs/>
        </w:rPr>
        <w:t>0120</w:t>
      </w:r>
      <w:r w:rsidR="004D440B">
        <w:rPr>
          <w:i/>
          <w:iCs/>
        </w:rPr>
        <w:t>8</w:t>
      </w:r>
      <w:r w:rsidR="005A03BC">
        <w:rPr>
          <w:i/>
          <w:iCs/>
        </w:rPr>
        <w:t>1</w:t>
      </w:r>
      <w:r w:rsidR="005A03BC" w:rsidRPr="00756ED4">
        <w:rPr>
          <w:i/>
          <w:iCs/>
        </w:rPr>
        <w:t>)</w:t>
      </w:r>
      <w:r>
        <w:rPr>
          <w:i/>
          <w:iCs/>
        </w:rPr>
        <w:t>.</w:t>
      </w:r>
    </w:p>
    <w:p w14:paraId="61264457" w14:textId="5B396C96" w:rsidR="005A03BC" w:rsidRPr="005A03BC" w:rsidRDefault="005A03BC" w:rsidP="005A03BC"/>
    <w:sectPr w:rsidR="005A03BC" w:rsidRPr="005A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F36"/>
    <w:multiLevelType w:val="hybridMultilevel"/>
    <w:tmpl w:val="7DA0C7B4"/>
    <w:lvl w:ilvl="0" w:tplc="FE2A5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06B0"/>
    <w:multiLevelType w:val="hybridMultilevel"/>
    <w:tmpl w:val="E7B82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4550"/>
    <w:multiLevelType w:val="hybridMultilevel"/>
    <w:tmpl w:val="BE56A488"/>
    <w:lvl w:ilvl="0" w:tplc="FE2A5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2F05"/>
    <w:multiLevelType w:val="hybridMultilevel"/>
    <w:tmpl w:val="13AE5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70987">
    <w:abstractNumId w:val="0"/>
  </w:num>
  <w:num w:numId="2" w16cid:durableId="621305329">
    <w:abstractNumId w:val="2"/>
  </w:num>
  <w:num w:numId="3" w16cid:durableId="264963223">
    <w:abstractNumId w:val="1"/>
  </w:num>
  <w:num w:numId="4" w16cid:durableId="1502352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97"/>
    <w:rsid w:val="00026D97"/>
    <w:rsid w:val="000602E6"/>
    <w:rsid w:val="002E392F"/>
    <w:rsid w:val="0037010A"/>
    <w:rsid w:val="004D440B"/>
    <w:rsid w:val="00541FAC"/>
    <w:rsid w:val="005445D2"/>
    <w:rsid w:val="005A03BC"/>
    <w:rsid w:val="00617192"/>
    <w:rsid w:val="006D23BD"/>
    <w:rsid w:val="00717EDA"/>
    <w:rsid w:val="008652F6"/>
    <w:rsid w:val="00910CDF"/>
    <w:rsid w:val="00A627D6"/>
    <w:rsid w:val="00AE2738"/>
    <w:rsid w:val="00CD2E29"/>
    <w:rsid w:val="00D9021E"/>
    <w:rsid w:val="00DE10B0"/>
    <w:rsid w:val="00E43FC0"/>
    <w:rsid w:val="00F22E56"/>
    <w:rsid w:val="00F27BCF"/>
    <w:rsid w:val="00FB30AC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84DE"/>
  <w15:chartTrackingRefBased/>
  <w15:docId w15:val="{50FA30BD-893E-4AAF-87D3-6D85AB5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7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30AC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30AC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30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617192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617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30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E2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3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03BC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71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irie.ademe.fr/produire-autrement/5026-la-methanisation-en-10-questions-9791029718694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user/ade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tter.com/ade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 xmlns="29a76da3-23bc-4d6a-ad4f-65033a03e763">Ouvert aux créneaux</STATUT>
    <TaxCatchAll xmlns="e2fbd1de-3a53-49af-b5dd-99430bb2e44a" xsi:nil="true"/>
    <lcf76f155ced4ddcb4097134ff3c332f xmlns="29a76da3-23bc-4d6a-ad4f-65033a03e76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CF1F67B5539419C7CC9040C3AE0D2" ma:contentTypeVersion="19" ma:contentTypeDescription="Crée un document." ma:contentTypeScope="" ma:versionID="e9d1caec48047e50ffb366934608c539">
  <xsd:schema xmlns:xsd="http://www.w3.org/2001/XMLSchema" xmlns:xs="http://www.w3.org/2001/XMLSchema" xmlns:p="http://schemas.microsoft.com/office/2006/metadata/properties" xmlns:ns2="29a76da3-23bc-4d6a-ad4f-65033a03e763" xmlns:ns3="e2fbd1de-3a53-49af-b5dd-99430bb2e44a" targetNamespace="http://schemas.microsoft.com/office/2006/metadata/properties" ma:root="true" ma:fieldsID="1ccde3d6805b6fb9db6ade1c70195523" ns2:_="" ns3:_="">
    <xsd:import namespace="29a76da3-23bc-4d6a-ad4f-65033a03e763"/>
    <xsd:import namespace="e2fbd1de-3a53-49af-b5dd-99430bb2e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STAT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76da3-23bc-4d6a-ad4f-65033a03e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4a94685-dace-4006-9151-2de8d36fb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T" ma:index="24" nillable="true" ma:displayName="STATUT" ma:default="Ouvert aux créneaux" ma:format="Dropdown" ma:internalName="STATUT">
      <xsd:simpleType>
        <xsd:restriction base="dms:Choice">
          <xsd:enumeration value="Ouvert aux créneaux"/>
          <xsd:enumeration value="Clôturé jusqu'au 28 procha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bd1de-3a53-49af-b5dd-99430bb2e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3dd010-d4d4-4d04-b974-bbae9af56134}" ma:internalName="TaxCatchAll" ma:showField="CatchAllData" ma:web="e2fbd1de-3a53-49af-b5dd-99430bb2e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4FB7C-BA0A-46B3-A0D0-DE01E8CC7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19FB8-18C2-4EC7-82B8-27CDF87959FA}">
  <ds:schemaRefs>
    <ds:schemaRef ds:uri="http://schemas.microsoft.com/office/2006/metadata/properties"/>
    <ds:schemaRef ds:uri="http://schemas.microsoft.com/office/infopath/2007/PartnerControls"/>
    <ds:schemaRef ds:uri="29a76da3-23bc-4d6a-ad4f-65033a03e763"/>
    <ds:schemaRef ds:uri="e2fbd1de-3a53-49af-b5dd-99430bb2e44a"/>
  </ds:schemaRefs>
</ds:datastoreItem>
</file>

<file path=customXml/itemProps3.xml><?xml version="1.0" encoding="utf-8"?>
<ds:datastoreItem xmlns:ds="http://schemas.openxmlformats.org/officeDocument/2006/customXml" ds:itemID="{7F48D384-0B71-45A9-AE9A-4B46A5800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76da3-23bc-4d6a-ad4f-65033a03e763"/>
    <ds:schemaRef ds:uri="e2fbd1de-3a53-49af-b5dd-99430bb2e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SANDRETTI</dc:creator>
  <cp:keywords/>
  <dc:description/>
  <cp:lastModifiedBy>Sophie ATLAN</cp:lastModifiedBy>
  <cp:revision>16</cp:revision>
  <dcterms:created xsi:type="dcterms:W3CDTF">2023-02-27T08:07:00Z</dcterms:created>
  <dcterms:modified xsi:type="dcterms:W3CDTF">2023-02-27T10:22:00Z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0x0101003B9CF1F67B5539419C7CC9040C3AE0D2</vt:lpwstr>
  </property>
  <property fmtid="{D5CDD505-2E9C-101B-9397-08002B2CF9AE}" pid="3" name="MediaServiceImageTags">
    <vt:lpwstr/>
  </property>
</Properties>
</file>